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DC" w:rsidRDefault="000B33DC" w:rsidP="000B33DC">
      <w:pPr>
        <w:pStyle w:val="NormalWeb"/>
        <w:shd w:val="clear" w:color="auto" w:fill="FFFFFF"/>
        <w:jc w:val="both"/>
        <w:rPr>
          <w:rFonts w:ascii="Verdana" w:hAnsi="Verdana"/>
          <w:color w:val="000000"/>
          <w:sz w:val="19"/>
          <w:szCs w:val="19"/>
        </w:rPr>
      </w:pPr>
      <w:r>
        <w:rPr>
          <w:rFonts w:ascii="Verdana" w:hAnsi="Verdana"/>
          <w:color w:val="000000"/>
          <w:sz w:val="19"/>
          <w:szCs w:val="19"/>
        </w:rPr>
        <w:t>NOTICE OF PRIVATE SELLING OFFICER SALE UNDER JUDGMENT OF FORECLOSURE OF LIENS FOR DELINQUENT LAND TAXES, PURSUANT TO SECTION 5721.39 OF THE OHIO REVISED CODE</w:t>
      </w:r>
    </w:p>
    <w:p w:rsidR="000B33DC" w:rsidRDefault="000B33DC" w:rsidP="000B33DC">
      <w:pPr>
        <w:pStyle w:val="NormalWeb"/>
        <w:shd w:val="clear" w:color="auto" w:fill="FFFFFF"/>
        <w:jc w:val="both"/>
        <w:rPr>
          <w:rFonts w:ascii="Verdana" w:hAnsi="Verdana"/>
          <w:color w:val="000000"/>
          <w:sz w:val="19"/>
          <w:szCs w:val="19"/>
        </w:rPr>
      </w:pPr>
      <w:proofErr w:type="gramStart"/>
      <w:r>
        <w:rPr>
          <w:rFonts w:ascii="Verdana" w:hAnsi="Verdana"/>
          <w:color w:val="000000"/>
          <w:sz w:val="19"/>
          <w:szCs w:val="19"/>
        </w:rPr>
        <w:t>In the Common Pleas Court of Franklin County, Ohio.</w:t>
      </w:r>
      <w:proofErr w:type="gramEnd"/>
    </w:p>
    <w:p w:rsidR="000B33DC" w:rsidRDefault="000B33DC" w:rsidP="000B33DC">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Whereas, judgment has been rendered against certain parcels of real property for taxes, assessments, </w:t>
      </w:r>
      <w:proofErr w:type="gramStart"/>
      <w:r>
        <w:rPr>
          <w:rFonts w:ascii="Verdana" w:hAnsi="Verdana"/>
          <w:color w:val="000000"/>
          <w:sz w:val="19"/>
          <w:szCs w:val="19"/>
        </w:rPr>
        <w:t>charges, penalties, interest, and costs</w:t>
      </w:r>
      <w:proofErr w:type="gramEnd"/>
      <w:r>
        <w:rPr>
          <w:rFonts w:ascii="Verdana" w:hAnsi="Verdana"/>
          <w:color w:val="000000"/>
          <w:sz w:val="19"/>
          <w:szCs w:val="19"/>
        </w:rPr>
        <w:t xml:space="preserve"> as follows:</w:t>
      </w:r>
    </w:p>
    <w:p w:rsidR="000B33DC" w:rsidRDefault="000B33DC" w:rsidP="000B33DC">
      <w:pPr>
        <w:pStyle w:val="NormalWeb"/>
        <w:shd w:val="clear" w:color="auto" w:fill="FFFFFF"/>
        <w:jc w:val="both"/>
        <w:rPr>
          <w:rFonts w:ascii="Verdana" w:hAnsi="Verdana"/>
          <w:color w:val="000000"/>
          <w:sz w:val="19"/>
          <w:szCs w:val="19"/>
        </w:rPr>
      </w:pPr>
      <w:r>
        <w:rPr>
          <w:rFonts w:ascii="Verdana" w:hAnsi="Verdana"/>
          <w:color w:val="000000"/>
          <w:sz w:val="19"/>
          <w:szCs w:val="19"/>
        </w:rPr>
        <w:t>The Common Pleas Court Case No., the case caption, the street address (for guidance only), the permanent parcel number, taxes, assessments, charges, penalties, interest, and costs (the “Minimum Bid”), auction end date and second auction end date for each parcel, as defined by the Statutes of Ohio are set forth below as follows:</w:t>
      </w:r>
    </w:p>
    <w:p w:rsidR="000B33DC" w:rsidRDefault="000B33DC" w:rsidP="000B33DC">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NOTE: All parcels will be auctioned online at </w:t>
      </w:r>
      <w:hyperlink r:id="rId9" w:history="1">
        <w:r w:rsidRPr="00E4533A">
          <w:rPr>
            <w:rStyle w:val="Hyperlink"/>
            <w:rFonts w:ascii="Verdana" w:hAnsi="Verdana"/>
            <w:b/>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w:t>
      </w:r>
      <w:proofErr w:type="gramStart"/>
      <w:r>
        <w:rPr>
          <w:rFonts w:ascii="Verdana" w:hAnsi="Verdana"/>
          <w:color w:val="000000"/>
          <w:sz w:val="19"/>
          <w:szCs w:val="19"/>
        </w:rPr>
        <w:t>description of parcels, and other sale details, are</w:t>
      </w:r>
      <w:proofErr w:type="gramEnd"/>
      <w:r>
        <w:rPr>
          <w:rFonts w:ascii="Verdana" w:hAnsi="Verdana"/>
          <w:color w:val="000000"/>
          <w:sz w:val="19"/>
          <w:szCs w:val="19"/>
        </w:rPr>
        <w:t xml:space="preserv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rsidR="000B33DC" w:rsidRDefault="000B33DC" w:rsidP="000B33DC">
      <w:pPr>
        <w:pStyle w:val="NormalWeb"/>
        <w:shd w:val="clear" w:color="auto" w:fill="FFFFFF"/>
        <w:jc w:val="both"/>
        <w:rPr>
          <w:rFonts w:ascii="Verdana" w:hAnsi="Verdana"/>
          <w:color w:val="000000"/>
          <w:sz w:val="19"/>
          <w:szCs w:val="19"/>
        </w:rPr>
      </w:pPr>
      <w:r>
        <w:rPr>
          <w:rFonts w:ascii="Verdana" w:hAnsi="Verdana"/>
          <w:color w:val="000000"/>
          <w:sz w:val="19"/>
          <w:szCs w:val="19"/>
        </w:rPr>
        <w:t>16 CV 011695; COLUMBUS SERVICING AGENCY, LLC V. SHARON J. TATUM, ET AL; 610 REYNOLDS AVENUE, COLUMBUS, OH 43201; 010-003363-00; MINIMUM STARTING BID: $15,546.05 (PLUS 10% BUYER’S PREMIUM); AUCTION END DATE: JULY 18, 2018 @ 10AM EST; SECOND AUCTION END DATE: AUGUST 31, 2018 @ 10AM EST.</w:t>
      </w:r>
    </w:p>
    <w:p w:rsidR="000B33DC" w:rsidRDefault="000B33DC" w:rsidP="000B33DC">
      <w:pPr>
        <w:pStyle w:val="NormalWeb"/>
        <w:shd w:val="clear" w:color="auto" w:fill="FFFFFF"/>
        <w:jc w:val="both"/>
        <w:rPr>
          <w:rFonts w:ascii="Verdana" w:hAnsi="Verdana"/>
          <w:color w:val="000000"/>
          <w:sz w:val="19"/>
          <w:szCs w:val="19"/>
        </w:rPr>
      </w:pPr>
      <w:r>
        <w:rPr>
          <w:rFonts w:ascii="Verdana" w:hAnsi="Verdana"/>
          <w:color w:val="000000"/>
          <w:sz w:val="19"/>
          <w:szCs w:val="19"/>
        </w:rPr>
        <w:t>17 CV 000481; COLUMBUS SERVICING AGENCY, LLC V. JAMES B. OGIER, ET AL; 505 E. MAYNARD AVENUE, COLUMBUS, OH 43202; 010-057509-00; MINIMUM STARTING BID: $26,534.25 (PLUS 10% BUYER’S PREMIUM); AUCTION END DATE: JULY 18, 2018 @ 12PM (NOON) EST; SECOND AUCTION END DATE: AUGUST 31, 2018 @ 12PM (NOON) EST.</w:t>
      </w:r>
    </w:p>
    <w:p w:rsidR="000B33DC" w:rsidRDefault="000B33DC" w:rsidP="000B33DC">
      <w:pPr>
        <w:pStyle w:val="NormalWeb"/>
        <w:shd w:val="clear" w:color="auto" w:fill="FFFFFF"/>
        <w:jc w:val="both"/>
        <w:rPr>
          <w:rFonts w:ascii="Verdana" w:hAnsi="Verdana"/>
          <w:color w:val="000000"/>
          <w:sz w:val="19"/>
          <w:szCs w:val="19"/>
        </w:rPr>
      </w:pPr>
      <w:r>
        <w:rPr>
          <w:rFonts w:ascii="Verdana" w:hAnsi="Verdana"/>
          <w:color w:val="000000"/>
          <w:sz w:val="19"/>
          <w:szCs w:val="19"/>
        </w:rPr>
        <w:t>16 CV 010053; COLUMBUS SERVICING AGENCY, LLC V. LATOYA B. RIVERS, ET AL; 583 E. SECOND AVENUE, COLUMBUS, OH 43201; 010-002830-00; MINIMUM STARTING BID: $14,925.95 (PLUS 10% BUYER’S PREMIUM); AUCTION END DATE: JULY 18, 2018 @2PM EST; SECOND AUCTION END DATE: AUGUST 31, 2018 @2PM EST.</w:t>
      </w:r>
    </w:p>
    <w:p w:rsidR="000B33DC" w:rsidRPr="001E5BF9" w:rsidRDefault="000B33DC" w:rsidP="000B33DC">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(10%) percent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w:t>
      </w:r>
      <w:r w:rsidRPr="001E5BF9">
        <w:rPr>
          <w:rFonts w:ascii="Verdana" w:hAnsi="Verdana" w:cs="Times New Roman"/>
          <w:sz w:val="19"/>
          <w:szCs w:val="19"/>
        </w:rPr>
        <w:lastRenderedPageBreak/>
        <w:t xml:space="preserve">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rsidR="000B33DC" w:rsidRDefault="000B33DC" w:rsidP="000B33DC">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rsidR="000B33DC" w:rsidRDefault="000B33DC" w:rsidP="000B33DC">
      <w:pPr>
        <w:pStyle w:val="NormalWeb"/>
        <w:shd w:val="clear" w:color="auto" w:fill="FFFFFF"/>
        <w:jc w:val="both"/>
        <w:rPr>
          <w:rFonts w:ascii="Verdana" w:hAnsi="Verdana"/>
          <w:color w:val="000000"/>
          <w:sz w:val="19"/>
          <w:szCs w:val="19"/>
        </w:rPr>
      </w:pPr>
      <w:r>
        <w:rPr>
          <w:rFonts w:ascii="Verdana" w:hAnsi="Verdana"/>
          <w:color w:val="000000"/>
          <w:sz w:val="19"/>
          <w:szCs w:val="19"/>
        </w:rPr>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rsidR="000B33DC" w:rsidRDefault="000B33DC" w:rsidP="000B33DC">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rsidR="000B33DC" w:rsidRDefault="000B33DC" w:rsidP="000B33DC">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rsidR="000B33DC" w:rsidRDefault="000B33DC" w:rsidP="000B33DC">
      <w:pPr>
        <w:pStyle w:val="NormalWeb"/>
        <w:shd w:val="clear" w:color="auto" w:fill="FFFFFF"/>
        <w:jc w:val="both"/>
        <w:rPr>
          <w:rFonts w:ascii="Verdana" w:hAnsi="Verdana"/>
          <w:color w:val="000000"/>
          <w:sz w:val="19"/>
          <w:szCs w:val="19"/>
        </w:rPr>
      </w:pPr>
    </w:p>
    <w:p w:rsidR="000B33DC" w:rsidRDefault="000B33DC" w:rsidP="000B33DC"/>
    <w:p w:rsidR="00FA440C" w:rsidRPr="00440160" w:rsidRDefault="00DC649A" w:rsidP="00FA440C">
      <w:bookmarkStart w:id="0" w:name="_GoBack"/>
      <w:bookmarkEnd w:id="0"/>
      <w:r>
        <w:t xml:space="preserve"> </w:t>
      </w:r>
    </w:p>
    <w:sectPr w:rsidR="00FA440C" w:rsidRPr="00440160" w:rsidSect="00315E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34" w:rsidRDefault="00F62934" w:rsidP="00315EC7">
      <w:pPr>
        <w:spacing w:after="0" w:line="240" w:lineRule="auto"/>
      </w:pPr>
      <w:r>
        <w:separator/>
      </w:r>
    </w:p>
  </w:endnote>
  <w:endnote w:type="continuationSeparator" w:id="0">
    <w:p w:rsidR="00F62934" w:rsidRDefault="00F62934" w:rsidP="0031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B3" w:rsidRDefault="006F5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B3" w:rsidRDefault="006F5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C7" w:rsidRDefault="00315EC7" w:rsidP="00315EC7">
    <w:pPr>
      <w:pStyle w:val="Footer"/>
      <w:pBdr>
        <w:bottom w:val="single" w:sz="12" w:space="1" w:color="auto"/>
      </w:pBdr>
      <w:jc w:val="center"/>
      <w:rPr>
        <w:sz w:val="20"/>
        <w:szCs w:val="20"/>
      </w:rPr>
    </w:pPr>
  </w:p>
  <w:p w:rsidR="00A33A4E" w:rsidRDefault="00A33A4E" w:rsidP="00A33A4E">
    <w:pPr>
      <w:pStyle w:val="Footer"/>
      <w:tabs>
        <w:tab w:val="left" w:pos="1440"/>
        <w:tab w:val="left" w:pos="2880"/>
        <w:tab w:val="left" w:pos="5760"/>
      </w:tabs>
      <w:rPr>
        <w:sz w:val="20"/>
        <w:szCs w:val="20"/>
      </w:rPr>
    </w:pPr>
    <w:r>
      <w:rPr>
        <w:sz w:val="20"/>
        <w:szCs w:val="20"/>
      </w:rPr>
      <w:tab/>
    </w:r>
  </w:p>
  <w:p w:rsidR="006139F2" w:rsidRDefault="00A33A4E" w:rsidP="00393A1A">
    <w:pPr>
      <w:pStyle w:val="Footer"/>
      <w:tabs>
        <w:tab w:val="left" w:pos="1440"/>
        <w:tab w:val="left" w:pos="2880"/>
        <w:tab w:val="left" w:pos="4320"/>
        <w:tab w:val="left" w:pos="5760"/>
      </w:tabs>
      <w:rPr>
        <w:sz w:val="20"/>
        <w:szCs w:val="20"/>
      </w:rPr>
    </w:pPr>
    <w:r>
      <w:rPr>
        <w:sz w:val="20"/>
        <w:szCs w:val="20"/>
      </w:rPr>
      <w:t xml:space="preserve">CINCINNATI      </w:t>
    </w:r>
    <w:r w:rsidR="00393A1A">
      <w:rPr>
        <w:sz w:val="20"/>
        <w:szCs w:val="20"/>
      </w:rPr>
      <w:tab/>
    </w:r>
    <w:r w:rsidR="00C764D6">
      <w:rPr>
        <w:sz w:val="20"/>
        <w:szCs w:val="20"/>
      </w:rPr>
      <w:tab/>
      <w:t xml:space="preserve">                </w:t>
    </w:r>
    <w:r w:rsidR="006139F2">
      <w:rPr>
        <w:sz w:val="20"/>
        <w:szCs w:val="20"/>
      </w:rPr>
      <w:tab/>
    </w:r>
    <w:r w:rsidR="006139F2">
      <w:rPr>
        <w:sz w:val="20"/>
        <w:szCs w:val="20"/>
      </w:rPr>
      <w:tab/>
    </w:r>
    <w:r w:rsidR="006139F2">
      <w:rPr>
        <w:sz w:val="20"/>
        <w:szCs w:val="20"/>
      </w:rPr>
      <w:tab/>
    </w:r>
    <w:r w:rsidR="006139F2">
      <w:rPr>
        <w:sz w:val="20"/>
        <w:szCs w:val="20"/>
      </w:rPr>
      <w:tab/>
    </w:r>
    <w:r>
      <w:rPr>
        <w:sz w:val="20"/>
        <w:szCs w:val="20"/>
      </w:rPr>
      <w:t>CLEVELAND</w:t>
    </w:r>
  </w:p>
  <w:p w:rsidR="006139F2" w:rsidRDefault="00A33A4E" w:rsidP="00A33A4E">
    <w:pPr>
      <w:pStyle w:val="Footer"/>
      <w:tabs>
        <w:tab w:val="left" w:pos="1440"/>
        <w:tab w:val="left" w:pos="2880"/>
        <w:tab w:val="left" w:pos="4320"/>
        <w:tab w:val="left" w:pos="5760"/>
      </w:tabs>
      <w:rPr>
        <w:sz w:val="20"/>
        <w:szCs w:val="20"/>
      </w:rPr>
    </w:pPr>
    <w:r>
      <w:rPr>
        <w:sz w:val="20"/>
        <w:szCs w:val="20"/>
      </w:rPr>
      <w:t xml:space="preserve">5254 Ridge Avenue, Suite 1      </w:t>
    </w:r>
    <w:r w:rsidR="00393A1A">
      <w:rPr>
        <w:sz w:val="20"/>
        <w:szCs w:val="20"/>
      </w:rPr>
      <w:t xml:space="preserve">         </w:t>
    </w:r>
    <w:r w:rsidR="006139F2">
      <w:rPr>
        <w:sz w:val="20"/>
        <w:szCs w:val="20"/>
      </w:rPr>
      <w:tab/>
    </w:r>
    <w:r w:rsidR="006139F2">
      <w:rPr>
        <w:sz w:val="20"/>
        <w:szCs w:val="20"/>
      </w:rPr>
      <w:tab/>
    </w:r>
    <w:r w:rsidR="006139F2">
      <w:rPr>
        <w:sz w:val="20"/>
        <w:szCs w:val="20"/>
      </w:rPr>
      <w:tab/>
    </w:r>
    <w:r w:rsidR="006139F2">
      <w:rPr>
        <w:sz w:val="20"/>
        <w:szCs w:val="20"/>
      </w:rPr>
      <w:tab/>
    </w:r>
    <w:r>
      <w:rPr>
        <w:sz w:val="20"/>
        <w:szCs w:val="20"/>
      </w:rPr>
      <w:t>600 Superior Avenue East, Suite 1300</w:t>
    </w:r>
  </w:p>
  <w:p w:rsidR="006139F2" w:rsidRDefault="00A33A4E" w:rsidP="006139F2">
    <w:pPr>
      <w:pStyle w:val="Footer"/>
      <w:tabs>
        <w:tab w:val="left" w:pos="1440"/>
        <w:tab w:val="left" w:pos="2880"/>
        <w:tab w:val="left" w:pos="4320"/>
        <w:tab w:val="left" w:pos="5760"/>
      </w:tabs>
      <w:rPr>
        <w:sz w:val="20"/>
        <w:szCs w:val="20"/>
      </w:rPr>
    </w:pPr>
    <w:r>
      <w:rPr>
        <w:sz w:val="20"/>
        <w:szCs w:val="20"/>
      </w:rPr>
      <w:t xml:space="preserve">Cincinnati, Ohio 45213      </w:t>
    </w:r>
    <w:r w:rsidR="00393A1A">
      <w:rPr>
        <w:sz w:val="20"/>
        <w:szCs w:val="20"/>
      </w:rPr>
      <w:t xml:space="preserve">                 </w:t>
    </w:r>
    <w:r w:rsidR="006139F2">
      <w:rPr>
        <w:sz w:val="20"/>
        <w:szCs w:val="20"/>
      </w:rPr>
      <w:tab/>
    </w:r>
    <w:r w:rsidR="006139F2">
      <w:rPr>
        <w:sz w:val="20"/>
        <w:szCs w:val="20"/>
      </w:rPr>
      <w:tab/>
    </w:r>
    <w:r w:rsidR="006139F2">
      <w:rPr>
        <w:sz w:val="20"/>
        <w:szCs w:val="20"/>
      </w:rPr>
      <w:tab/>
    </w:r>
    <w:r w:rsidR="006139F2">
      <w:rPr>
        <w:sz w:val="20"/>
        <w:szCs w:val="20"/>
      </w:rPr>
      <w:tab/>
    </w:r>
    <w:r>
      <w:rPr>
        <w:sz w:val="20"/>
        <w:szCs w:val="20"/>
      </w:rPr>
      <w:t>Cleveland, Ohio 44114</w:t>
    </w:r>
  </w:p>
  <w:p w:rsidR="00A33A4E" w:rsidRDefault="00A33A4E" w:rsidP="003F3F45">
    <w:pPr>
      <w:pStyle w:val="Footer"/>
      <w:tabs>
        <w:tab w:val="left" w:pos="1440"/>
        <w:tab w:val="left" w:pos="2880"/>
        <w:tab w:val="left" w:pos="4320"/>
        <w:tab w:val="left" w:pos="5760"/>
      </w:tabs>
      <w:rPr>
        <w:sz w:val="20"/>
        <w:szCs w:val="20"/>
      </w:rPr>
    </w:pPr>
    <w:r>
      <w:rPr>
        <w:sz w:val="20"/>
        <w:szCs w:val="20"/>
      </w:rPr>
      <w:t xml:space="preserve">p. 513.841.7000      </w:t>
    </w:r>
    <w:r w:rsidR="00393A1A">
      <w:rPr>
        <w:sz w:val="20"/>
        <w:szCs w:val="20"/>
      </w:rPr>
      <w:t xml:space="preserve">                            </w:t>
    </w:r>
    <w:r w:rsidR="003F3F45">
      <w:rPr>
        <w:sz w:val="20"/>
        <w:szCs w:val="20"/>
      </w:rPr>
      <w:tab/>
      <w:t xml:space="preserve">                  www.prodigyprop.com</w:t>
    </w:r>
    <w:r w:rsidR="006139F2">
      <w:rPr>
        <w:sz w:val="20"/>
        <w:szCs w:val="20"/>
      </w:rPr>
      <w:tab/>
    </w:r>
    <w:r w:rsidR="006139F2">
      <w:rPr>
        <w:sz w:val="20"/>
        <w:szCs w:val="20"/>
      </w:rPr>
      <w:tab/>
    </w:r>
    <w:r w:rsidR="00393A1A">
      <w:rPr>
        <w:sz w:val="20"/>
        <w:szCs w:val="20"/>
      </w:rPr>
      <w:t xml:space="preserve"> </w:t>
    </w:r>
    <w:r>
      <w:rPr>
        <w:sz w:val="20"/>
        <w:szCs w:val="20"/>
      </w:rPr>
      <w:t>p. 216.302.3557</w:t>
    </w:r>
    <w:r w:rsidR="00C764D6">
      <w:rPr>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34" w:rsidRDefault="00F62934" w:rsidP="00315EC7">
      <w:pPr>
        <w:spacing w:after="0" w:line="240" w:lineRule="auto"/>
      </w:pPr>
      <w:r>
        <w:separator/>
      </w:r>
    </w:p>
  </w:footnote>
  <w:footnote w:type="continuationSeparator" w:id="0">
    <w:p w:rsidR="00F62934" w:rsidRDefault="00F62934" w:rsidP="00315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B3" w:rsidRDefault="006F5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B3" w:rsidRDefault="006F5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C7" w:rsidRDefault="006558CE" w:rsidP="006F58B3">
    <w:pPr>
      <w:pStyle w:val="Header"/>
      <w:pBdr>
        <w:bottom w:val="single" w:sz="12" w:space="1" w:color="auto"/>
      </w:pBdr>
      <w:jc w:val="center"/>
      <w:rPr>
        <w:noProof/>
      </w:rPr>
    </w:pPr>
    <w:r>
      <w:rPr>
        <w:noProof/>
      </w:rPr>
      <w:drawing>
        <wp:inline distT="0" distB="0" distL="0" distR="0" wp14:anchorId="7C83B602" wp14:editId="63EA604A">
          <wp:extent cx="4094018" cy="9554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097869" cy="956372"/>
                  </a:xfrm>
                  <a:prstGeom prst="rect">
                    <a:avLst/>
                  </a:prstGeom>
                </pic:spPr>
              </pic:pic>
            </a:graphicData>
          </a:graphic>
        </wp:inline>
      </w:drawing>
    </w:r>
  </w:p>
  <w:p w:rsidR="006F58B3" w:rsidRPr="006F58B3" w:rsidRDefault="006F58B3" w:rsidP="006F58B3">
    <w:pPr>
      <w:pStyle w:val="Header"/>
      <w:pBdr>
        <w:bottom w:val="single" w:sz="12" w:space="1" w:color="auto"/>
      </w:pBdr>
      <w:jc w:val="center"/>
      <w:rPr>
        <w:rFonts w:ascii="Corbel" w:hAnsi="Corbel"/>
        <w:color w:val="365F91" w:themeColor="accent1" w:themeShade="BF"/>
      </w:rPr>
    </w:pPr>
    <w:r w:rsidRPr="006F58B3">
      <w:rPr>
        <w:rFonts w:ascii="Corbel" w:hAnsi="Corbel"/>
        <w:noProof/>
        <w:color w:val="365F91" w:themeColor="accent1" w:themeShade="BF"/>
      </w:rPr>
      <w:t>*A Division of Prodigy Properties*</w:t>
    </w:r>
  </w:p>
  <w:p w:rsidR="00315EC7" w:rsidRDefault="00315EC7" w:rsidP="00315EC7">
    <w:pPr>
      <w:pStyle w:val="Header"/>
      <w:pBdr>
        <w:bottom w:val="single" w:sz="12" w:space="1" w:color="auto"/>
      </w:pBdr>
      <w:jc w:val="center"/>
    </w:pPr>
  </w:p>
  <w:p w:rsidR="00315EC7" w:rsidRDefault="00315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6B77"/>
    <w:multiLevelType w:val="hybridMultilevel"/>
    <w:tmpl w:val="215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50226"/>
    <w:multiLevelType w:val="hybridMultilevel"/>
    <w:tmpl w:val="B5AC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B0B"/>
    <w:multiLevelType w:val="hybridMultilevel"/>
    <w:tmpl w:val="2AE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84AA9"/>
    <w:multiLevelType w:val="hybridMultilevel"/>
    <w:tmpl w:val="BC70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C7"/>
    <w:rsid w:val="000B33DC"/>
    <w:rsid w:val="002620BB"/>
    <w:rsid w:val="002F49E7"/>
    <w:rsid w:val="0031094C"/>
    <w:rsid w:val="00315EC7"/>
    <w:rsid w:val="00393A1A"/>
    <w:rsid w:val="003F3F45"/>
    <w:rsid w:val="00413522"/>
    <w:rsid w:val="00440160"/>
    <w:rsid w:val="0047521B"/>
    <w:rsid w:val="0049536B"/>
    <w:rsid w:val="00560056"/>
    <w:rsid w:val="006139F2"/>
    <w:rsid w:val="00655859"/>
    <w:rsid w:val="006558CE"/>
    <w:rsid w:val="006F58B3"/>
    <w:rsid w:val="00743382"/>
    <w:rsid w:val="00784389"/>
    <w:rsid w:val="00815DC3"/>
    <w:rsid w:val="008D1E8D"/>
    <w:rsid w:val="0095734F"/>
    <w:rsid w:val="00986F09"/>
    <w:rsid w:val="00991594"/>
    <w:rsid w:val="00A12A8D"/>
    <w:rsid w:val="00A33A4E"/>
    <w:rsid w:val="00C30A23"/>
    <w:rsid w:val="00C764D6"/>
    <w:rsid w:val="00D33B63"/>
    <w:rsid w:val="00DC649A"/>
    <w:rsid w:val="00DE5045"/>
    <w:rsid w:val="00EA6C69"/>
    <w:rsid w:val="00EF2BBC"/>
    <w:rsid w:val="00F23F48"/>
    <w:rsid w:val="00F62934"/>
    <w:rsid w:val="00FA440C"/>
    <w:rsid w:val="00FC360C"/>
    <w:rsid w:val="00FC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C7"/>
  </w:style>
  <w:style w:type="paragraph" w:styleId="Footer">
    <w:name w:val="footer"/>
    <w:basedOn w:val="Normal"/>
    <w:link w:val="FooterChar"/>
    <w:uiPriority w:val="99"/>
    <w:unhideWhenUsed/>
    <w:rsid w:val="0031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C7"/>
  </w:style>
  <w:style w:type="paragraph" w:styleId="BalloonText">
    <w:name w:val="Balloon Text"/>
    <w:basedOn w:val="Normal"/>
    <w:link w:val="BalloonTextChar"/>
    <w:uiPriority w:val="99"/>
    <w:semiHidden/>
    <w:unhideWhenUsed/>
    <w:rsid w:val="0031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C7"/>
    <w:rPr>
      <w:rFonts w:ascii="Tahoma" w:hAnsi="Tahoma" w:cs="Tahoma"/>
      <w:sz w:val="16"/>
      <w:szCs w:val="16"/>
    </w:rPr>
  </w:style>
  <w:style w:type="paragraph" w:styleId="ListParagraph">
    <w:name w:val="List Paragraph"/>
    <w:basedOn w:val="Normal"/>
    <w:uiPriority w:val="34"/>
    <w:qFormat/>
    <w:rsid w:val="0049536B"/>
    <w:pPr>
      <w:ind w:left="720"/>
      <w:contextualSpacing/>
    </w:pPr>
  </w:style>
  <w:style w:type="table" w:styleId="TableGrid">
    <w:name w:val="Table Grid"/>
    <w:basedOn w:val="TableNormal"/>
    <w:uiPriority w:val="59"/>
    <w:rsid w:val="0049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A4E"/>
    <w:rPr>
      <w:color w:val="0000FF" w:themeColor="hyperlink"/>
      <w:u w:val="single"/>
    </w:rPr>
  </w:style>
  <w:style w:type="paragraph" w:styleId="NormalWeb">
    <w:name w:val="Normal (Web)"/>
    <w:basedOn w:val="Normal"/>
    <w:uiPriority w:val="99"/>
    <w:semiHidden/>
    <w:unhideWhenUsed/>
    <w:rsid w:val="000B33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C7"/>
  </w:style>
  <w:style w:type="paragraph" w:styleId="Footer">
    <w:name w:val="footer"/>
    <w:basedOn w:val="Normal"/>
    <w:link w:val="FooterChar"/>
    <w:uiPriority w:val="99"/>
    <w:unhideWhenUsed/>
    <w:rsid w:val="0031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C7"/>
  </w:style>
  <w:style w:type="paragraph" w:styleId="BalloonText">
    <w:name w:val="Balloon Text"/>
    <w:basedOn w:val="Normal"/>
    <w:link w:val="BalloonTextChar"/>
    <w:uiPriority w:val="99"/>
    <w:semiHidden/>
    <w:unhideWhenUsed/>
    <w:rsid w:val="00315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C7"/>
    <w:rPr>
      <w:rFonts w:ascii="Tahoma" w:hAnsi="Tahoma" w:cs="Tahoma"/>
      <w:sz w:val="16"/>
      <w:szCs w:val="16"/>
    </w:rPr>
  </w:style>
  <w:style w:type="paragraph" w:styleId="ListParagraph">
    <w:name w:val="List Paragraph"/>
    <w:basedOn w:val="Normal"/>
    <w:uiPriority w:val="34"/>
    <w:qFormat/>
    <w:rsid w:val="0049536B"/>
    <w:pPr>
      <w:ind w:left="720"/>
      <w:contextualSpacing/>
    </w:pPr>
  </w:style>
  <w:style w:type="table" w:styleId="TableGrid">
    <w:name w:val="Table Grid"/>
    <w:basedOn w:val="TableNormal"/>
    <w:uiPriority w:val="59"/>
    <w:rsid w:val="0049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A4E"/>
    <w:rPr>
      <w:color w:val="0000FF" w:themeColor="hyperlink"/>
      <w:u w:val="single"/>
    </w:rPr>
  </w:style>
  <w:style w:type="paragraph" w:styleId="NormalWeb">
    <w:name w:val="Normal (Web)"/>
    <w:basedOn w:val="Normal"/>
    <w:uiPriority w:val="99"/>
    <w:semiHidden/>
    <w:unhideWhenUsed/>
    <w:rsid w:val="000B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hioForeclosure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5391-A179-4018-A3EF-B526787B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Julie Bovard</cp:lastModifiedBy>
  <cp:revision>2</cp:revision>
  <dcterms:created xsi:type="dcterms:W3CDTF">2018-06-13T14:35:00Z</dcterms:created>
  <dcterms:modified xsi:type="dcterms:W3CDTF">2018-06-13T14:35:00Z</dcterms:modified>
</cp:coreProperties>
</file>