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4298D"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NOTICE OF PRIVATE SELLING OFFICER SALE UNDER JUDGMENT OF FORECLOSURE OF LIENS FOR DELINQUENT LAND TAXES, PURSUANT TO SECTION 5721.39 OF THE OHIO REVISED CODE</w:t>
      </w:r>
    </w:p>
    <w:p w14:paraId="6F9B023A" w14:textId="30549E62"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 xml:space="preserve">In the Common Pleas Court of </w:t>
      </w:r>
      <w:r w:rsidR="00BE33DF">
        <w:rPr>
          <w:rFonts w:ascii="Verdana" w:hAnsi="Verdana"/>
          <w:color w:val="000000"/>
          <w:sz w:val="19"/>
          <w:szCs w:val="19"/>
        </w:rPr>
        <w:t>Ottawa</w:t>
      </w:r>
      <w:r>
        <w:rPr>
          <w:rFonts w:ascii="Verdana" w:hAnsi="Verdana"/>
          <w:color w:val="000000"/>
          <w:sz w:val="19"/>
          <w:szCs w:val="19"/>
        </w:rPr>
        <w:t>, Ohio.</w:t>
      </w:r>
    </w:p>
    <w:p w14:paraId="599A84DF" w14:textId="3739C786"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Whereas, judgment has been rendered against certain parcels of real property for taxes, assessments, charges, penalties, interest, and costs as follows:</w:t>
      </w:r>
    </w:p>
    <w:p w14:paraId="5DE1DD96" w14:textId="0868C566" w:rsidR="00BD1867" w:rsidRDefault="00BD1867" w:rsidP="00BD1867">
      <w:pPr>
        <w:pStyle w:val="NormalWeb"/>
        <w:shd w:val="clear" w:color="auto" w:fill="FFFFFF"/>
        <w:jc w:val="both"/>
        <w:rPr>
          <w:rFonts w:ascii="Verdana" w:hAnsi="Verdana"/>
          <w:color w:val="000000"/>
          <w:sz w:val="19"/>
          <w:szCs w:val="19"/>
        </w:rPr>
      </w:pPr>
      <w:r>
        <w:rPr>
          <w:rFonts w:ascii="Verdana" w:hAnsi="Verdana"/>
          <w:color w:val="000000"/>
          <w:sz w:val="19"/>
          <w:szCs w:val="19"/>
        </w:rPr>
        <w:t>The Common Pleas Court Case No.; the case caption; the street address (for guidance only); the permanent parcel number; minimum acceptable bid; auction end date and second auction end date for each parcel, as defined by the Statutes of Ohio are set forth below as follows:</w:t>
      </w:r>
    </w:p>
    <w:p w14:paraId="7B90961C" w14:textId="1C77C33F" w:rsidR="008F4539" w:rsidRDefault="00BE33DF" w:rsidP="008F4539">
      <w:pPr>
        <w:ind w:right="360"/>
        <w:rPr>
          <w:rFonts w:ascii="Verdana" w:hAnsi="Verdana"/>
          <w:color w:val="000000"/>
          <w:sz w:val="19"/>
          <w:szCs w:val="19"/>
        </w:rPr>
      </w:pPr>
      <w:r>
        <w:rPr>
          <w:rFonts w:ascii="Verdana" w:hAnsi="Verdana"/>
          <w:color w:val="000000"/>
          <w:sz w:val="19"/>
          <w:szCs w:val="19"/>
        </w:rPr>
        <w:t xml:space="preserve">2017-CV-E 288; TAX EASE OHIO, LLC V. WILLIAM </w:t>
      </w:r>
      <w:r w:rsidR="008F4539">
        <w:rPr>
          <w:rFonts w:ascii="Verdana" w:hAnsi="Verdana"/>
          <w:color w:val="000000"/>
          <w:sz w:val="19"/>
          <w:szCs w:val="19"/>
        </w:rPr>
        <w:t>CRAWFORD AKA</w:t>
      </w:r>
      <w:r w:rsidR="00FC0C07">
        <w:rPr>
          <w:rFonts w:ascii="Verdana" w:hAnsi="Verdana"/>
          <w:color w:val="000000"/>
          <w:sz w:val="19"/>
          <w:szCs w:val="19"/>
        </w:rPr>
        <w:t xml:space="preserve"> WM R CRAWFORD, ET AL; 1309 E.</w:t>
      </w:r>
      <w:r w:rsidR="008F4539">
        <w:rPr>
          <w:rFonts w:ascii="Verdana" w:hAnsi="Verdana"/>
          <w:color w:val="000000"/>
          <w:sz w:val="19"/>
          <w:szCs w:val="19"/>
        </w:rPr>
        <w:t xml:space="preserve"> THIRD STREET, PORT CLINTON, OH 43452; 021-18062-24222-000; </w:t>
      </w:r>
      <w:bookmarkStart w:id="0" w:name="_Hlk14355523"/>
      <w:r w:rsidR="008F4539" w:rsidRPr="00DA5F85">
        <w:rPr>
          <w:rFonts w:ascii="Verdana" w:hAnsi="Verdana"/>
          <w:color w:val="000000"/>
          <w:sz w:val="19"/>
          <w:szCs w:val="19"/>
        </w:rPr>
        <w:t>MINIMUM ACCEPTABLE BID: $</w:t>
      </w:r>
      <w:r w:rsidR="000E6CDB">
        <w:rPr>
          <w:rFonts w:ascii="Verdana" w:hAnsi="Verdana"/>
          <w:color w:val="000000"/>
          <w:sz w:val="19"/>
          <w:szCs w:val="19"/>
        </w:rPr>
        <w:t>34,258.90</w:t>
      </w:r>
      <w:r w:rsidR="008F4539" w:rsidRPr="00DA5F85">
        <w:rPr>
          <w:rFonts w:ascii="Verdana" w:hAnsi="Verdana"/>
          <w:color w:val="000000"/>
          <w:sz w:val="19"/>
          <w:szCs w:val="19"/>
        </w:rPr>
        <w:t xml:space="preserve"> (PLUS 10% BUYER’S PREMIUM); AUCTION END DATE: August </w:t>
      </w:r>
      <w:r w:rsidR="00FC0C07">
        <w:rPr>
          <w:rFonts w:ascii="Verdana" w:hAnsi="Verdana"/>
          <w:color w:val="000000"/>
          <w:sz w:val="19"/>
          <w:szCs w:val="19"/>
        </w:rPr>
        <w:t>21</w:t>
      </w:r>
      <w:r w:rsidR="008F4539" w:rsidRPr="00DA5F85">
        <w:rPr>
          <w:rFonts w:ascii="Verdana" w:hAnsi="Verdana"/>
          <w:color w:val="000000"/>
          <w:sz w:val="19"/>
          <w:szCs w:val="19"/>
        </w:rPr>
        <w:t xml:space="preserve">, </w:t>
      </w:r>
      <w:r w:rsidR="00FC0C07">
        <w:rPr>
          <w:rFonts w:ascii="Verdana" w:hAnsi="Verdana"/>
          <w:color w:val="000000"/>
          <w:sz w:val="19"/>
          <w:szCs w:val="19"/>
        </w:rPr>
        <w:t>2019</w:t>
      </w:r>
      <w:r w:rsidR="008F4539" w:rsidRPr="00DA5F85">
        <w:rPr>
          <w:rFonts w:ascii="Verdana" w:hAnsi="Verdana"/>
          <w:color w:val="000000"/>
          <w:sz w:val="19"/>
          <w:szCs w:val="19"/>
        </w:rPr>
        <w:t xml:space="preserve">; SECOND AUCTION END DATE: September </w:t>
      </w:r>
      <w:r w:rsidR="00FC0C07">
        <w:rPr>
          <w:rFonts w:ascii="Verdana" w:hAnsi="Verdana"/>
          <w:color w:val="000000"/>
          <w:sz w:val="19"/>
          <w:szCs w:val="19"/>
        </w:rPr>
        <w:t>18</w:t>
      </w:r>
      <w:r w:rsidR="008F4539" w:rsidRPr="00DA5F85">
        <w:rPr>
          <w:rFonts w:ascii="Verdana" w:hAnsi="Verdana"/>
          <w:color w:val="000000"/>
          <w:sz w:val="19"/>
          <w:szCs w:val="19"/>
        </w:rPr>
        <w:t>, 2019 @ 11AM EST.</w:t>
      </w:r>
      <w:bookmarkEnd w:id="0"/>
    </w:p>
    <w:p w14:paraId="21DF89EC" w14:textId="211C09D5" w:rsidR="000E6CDB" w:rsidRDefault="000E6CDB" w:rsidP="000E6CDB">
      <w:pPr>
        <w:ind w:right="360"/>
        <w:rPr>
          <w:rFonts w:ascii="Verdana" w:hAnsi="Verdana"/>
          <w:color w:val="000000"/>
          <w:sz w:val="19"/>
          <w:szCs w:val="19"/>
        </w:rPr>
      </w:pPr>
      <w:r>
        <w:rPr>
          <w:rFonts w:ascii="Verdana" w:hAnsi="Verdana"/>
          <w:color w:val="000000"/>
          <w:sz w:val="19"/>
          <w:szCs w:val="19"/>
        </w:rPr>
        <w:t>2017-CV-E 286; TAX EASE OHIO, LLC V. JERRY BRITT,</w:t>
      </w:r>
      <w:r w:rsidR="00E03133">
        <w:rPr>
          <w:rFonts w:ascii="Verdana" w:hAnsi="Verdana"/>
          <w:color w:val="000000"/>
          <w:sz w:val="19"/>
          <w:szCs w:val="19"/>
        </w:rPr>
        <w:t xml:space="preserve"> </w:t>
      </w:r>
      <w:r>
        <w:rPr>
          <w:rFonts w:ascii="Verdana" w:hAnsi="Verdana"/>
          <w:color w:val="000000"/>
          <w:sz w:val="19"/>
          <w:szCs w:val="19"/>
        </w:rPr>
        <w:t>ET AL; OAK HARBOR SOUTHEAST AKA 0 OAK HARBOR SOUTHEAST, OAK HARBOR, OH 43449</w:t>
      </w:r>
      <w:r w:rsidR="00FC0C07">
        <w:rPr>
          <w:rFonts w:ascii="Verdana" w:hAnsi="Verdana"/>
          <w:color w:val="000000"/>
          <w:sz w:val="19"/>
          <w:szCs w:val="19"/>
        </w:rPr>
        <w:t>, SALEM TWP</w:t>
      </w:r>
      <w:r w:rsidR="006B2E49">
        <w:rPr>
          <w:rFonts w:ascii="Verdana" w:hAnsi="Verdana"/>
          <w:color w:val="000000"/>
          <w:sz w:val="19"/>
          <w:szCs w:val="19"/>
        </w:rPr>
        <w:t>,</w:t>
      </w:r>
      <w:r w:rsidR="00E03133">
        <w:rPr>
          <w:rFonts w:ascii="Verdana" w:hAnsi="Verdana"/>
          <w:color w:val="000000"/>
          <w:sz w:val="19"/>
          <w:szCs w:val="19"/>
        </w:rPr>
        <w:t xml:space="preserve"> LOCATED IN</w:t>
      </w:r>
      <w:r w:rsidR="00FC0C07">
        <w:rPr>
          <w:rFonts w:ascii="Verdana" w:hAnsi="Verdana"/>
          <w:color w:val="000000"/>
          <w:sz w:val="19"/>
          <w:szCs w:val="19"/>
        </w:rPr>
        <w:t>BETWEEN S</w:t>
      </w:r>
      <w:r w:rsidR="00E03133">
        <w:rPr>
          <w:rFonts w:ascii="Verdana" w:hAnsi="Verdana"/>
          <w:color w:val="000000"/>
          <w:sz w:val="19"/>
          <w:szCs w:val="19"/>
        </w:rPr>
        <w:t>.</w:t>
      </w:r>
      <w:r w:rsidR="00FC0C07">
        <w:rPr>
          <w:rFonts w:ascii="Verdana" w:hAnsi="Verdana"/>
          <w:color w:val="000000"/>
          <w:sz w:val="19"/>
          <w:szCs w:val="19"/>
        </w:rPr>
        <w:t xml:space="preserve"> MUDDY CREEK NORTH RD &amp; S</w:t>
      </w:r>
      <w:r w:rsidR="00E03133">
        <w:rPr>
          <w:rFonts w:ascii="Verdana" w:hAnsi="Verdana"/>
          <w:color w:val="000000"/>
          <w:sz w:val="19"/>
          <w:szCs w:val="19"/>
        </w:rPr>
        <w:t>OUTH PORT</w:t>
      </w:r>
      <w:bookmarkStart w:id="1" w:name="_GoBack"/>
      <w:bookmarkEnd w:id="1"/>
      <w:r w:rsidR="00FC0C07">
        <w:rPr>
          <w:rFonts w:ascii="Verdana" w:hAnsi="Verdana"/>
          <w:color w:val="000000"/>
          <w:sz w:val="19"/>
          <w:szCs w:val="19"/>
        </w:rPr>
        <w:t>AGE SOUTH RD.</w:t>
      </w:r>
      <w:r>
        <w:rPr>
          <w:rFonts w:ascii="Verdana" w:hAnsi="Verdana"/>
          <w:color w:val="000000"/>
          <w:sz w:val="19"/>
          <w:szCs w:val="19"/>
        </w:rPr>
        <w:t xml:space="preserve">; 026-06169-08040-002; </w:t>
      </w:r>
      <w:r w:rsidRPr="00DA5F85">
        <w:rPr>
          <w:rFonts w:ascii="Verdana" w:hAnsi="Verdana"/>
          <w:color w:val="000000"/>
          <w:sz w:val="19"/>
          <w:szCs w:val="19"/>
        </w:rPr>
        <w:t>MINIMUM ACCEPTABLE BID: $</w:t>
      </w:r>
      <w:r>
        <w:rPr>
          <w:rFonts w:ascii="Verdana" w:hAnsi="Verdana"/>
          <w:color w:val="000000"/>
          <w:sz w:val="19"/>
          <w:szCs w:val="19"/>
        </w:rPr>
        <w:t>20,757.71</w:t>
      </w:r>
      <w:r w:rsidRPr="00DA5F85">
        <w:rPr>
          <w:rFonts w:ascii="Verdana" w:hAnsi="Verdana"/>
          <w:color w:val="000000"/>
          <w:sz w:val="19"/>
          <w:szCs w:val="19"/>
        </w:rPr>
        <w:t xml:space="preserve"> (PLUS 10% BUYER’S PREMIUM); AUCTION END DATE: August </w:t>
      </w:r>
      <w:r w:rsidR="00E03133">
        <w:rPr>
          <w:rFonts w:ascii="Verdana" w:hAnsi="Verdana"/>
          <w:color w:val="000000"/>
          <w:sz w:val="19"/>
          <w:szCs w:val="19"/>
        </w:rPr>
        <w:t>21</w:t>
      </w:r>
      <w:r w:rsidRPr="00DA5F85">
        <w:rPr>
          <w:rFonts w:ascii="Verdana" w:hAnsi="Verdana"/>
          <w:color w:val="000000"/>
          <w:sz w:val="19"/>
          <w:szCs w:val="19"/>
        </w:rPr>
        <w:t xml:space="preserve">, 2019; SECOND AUCTION END DATE: September </w:t>
      </w:r>
      <w:r w:rsidR="00E03133">
        <w:rPr>
          <w:rFonts w:ascii="Verdana" w:hAnsi="Verdana"/>
          <w:color w:val="000000"/>
          <w:sz w:val="19"/>
          <w:szCs w:val="19"/>
        </w:rPr>
        <w:t>18</w:t>
      </w:r>
      <w:r w:rsidRPr="00DA5F85">
        <w:rPr>
          <w:rFonts w:ascii="Verdana" w:hAnsi="Verdana"/>
          <w:color w:val="000000"/>
          <w:sz w:val="19"/>
          <w:szCs w:val="19"/>
        </w:rPr>
        <w:t>, 2019.</w:t>
      </w:r>
    </w:p>
    <w:p w14:paraId="227A460C" w14:textId="7CE96BF5" w:rsidR="00D87DDC" w:rsidRDefault="00D87DDC" w:rsidP="000E6CDB">
      <w:pPr>
        <w:ind w:right="360"/>
        <w:rPr>
          <w:rFonts w:ascii="Verdana" w:hAnsi="Verdana"/>
          <w:color w:val="000000"/>
          <w:sz w:val="19"/>
          <w:szCs w:val="19"/>
        </w:rPr>
      </w:pPr>
      <w:r>
        <w:rPr>
          <w:rFonts w:ascii="Verdana" w:hAnsi="Verdana"/>
          <w:color w:val="000000"/>
          <w:sz w:val="19"/>
          <w:szCs w:val="19"/>
        </w:rPr>
        <w:t xml:space="preserve">NOTE: All parcels will be auctioned online at </w:t>
      </w:r>
      <w:hyperlink r:id="rId6" w:history="1">
        <w:r w:rsidRPr="00E4533A">
          <w:rPr>
            <w:rStyle w:val="Hyperlink"/>
            <w:rFonts w:ascii="Verdana" w:hAnsi="Verdana"/>
            <w:b/>
            <w:color w:val="auto"/>
            <w:sz w:val="19"/>
            <w:szCs w:val="19"/>
          </w:rPr>
          <w:t>www.OhioForeclosures.com</w:t>
        </w:r>
      </w:hyperlink>
      <w:r>
        <w:rPr>
          <w:rFonts w:ascii="Verdana" w:hAnsi="Verdana"/>
          <w:color w:val="000000"/>
          <w:sz w:val="19"/>
          <w:szCs w:val="19"/>
        </w:rPr>
        <w:t xml:space="preserve">. All auctions will begin at least seven (7) days prior to the auction end date.  If any parcel does not receive a sufficient bid, it shall be offered for sale, under the same terms, on the same website, with the second auction beginning at least seven (7) days prior to the end date of the second auction.  A ten percent (10%) Buyer’s Premium will be added to the high bid to determine the sale price.  Full legal description of parcels, and other sale details, are available at </w:t>
      </w:r>
      <w:r w:rsidRPr="00E4533A">
        <w:rPr>
          <w:rFonts w:ascii="Verdana" w:hAnsi="Verdana"/>
          <w:b/>
          <w:color w:val="000000"/>
          <w:sz w:val="19"/>
          <w:szCs w:val="19"/>
          <w:u w:val="single"/>
        </w:rPr>
        <w:t>www.OhioForeclosures.com</w:t>
      </w:r>
      <w:r>
        <w:rPr>
          <w:rFonts w:ascii="Verdana" w:hAnsi="Verdana"/>
          <w:color w:val="000000"/>
          <w:sz w:val="19"/>
          <w:szCs w:val="19"/>
        </w:rPr>
        <w:t>.</w:t>
      </w:r>
    </w:p>
    <w:p w14:paraId="47DDF04F" w14:textId="77777777" w:rsidR="00D87DDC" w:rsidRPr="001E5BF9" w:rsidRDefault="00D87DDC" w:rsidP="00D87DDC">
      <w:pPr>
        <w:ind w:right="360"/>
        <w:rPr>
          <w:rFonts w:ascii="Verdana" w:hAnsi="Verdana" w:cs="Times New Roman"/>
          <w:sz w:val="19"/>
          <w:szCs w:val="19"/>
        </w:rPr>
      </w:pPr>
      <w:r w:rsidRPr="001E5BF9">
        <w:rPr>
          <w:rFonts w:ascii="Verdana" w:hAnsi="Verdana"/>
          <w:color w:val="000000"/>
          <w:sz w:val="19"/>
          <w:szCs w:val="19"/>
        </w:rPr>
        <w:t xml:space="preserve">TERMS OF SALE: </w:t>
      </w:r>
      <w:r w:rsidRPr="001E5BF9">
        <w:rPr>
          <w:rFonts w:ascii="Verdana" w:hAnsi="Verdana" w:cs="Times New Roman"/>
          <w:sz w:val="19"/>
          <w:szCs w:val="19"/>
        </w:rPr>
        <w:t xml:space="preserve">Purchaser shall be required to pay a buyer’s premium, in an amount equal to ten percent (10%) of the high bid price, which shall be added to the high bid and included in the full purchase price.  Deposit of </w:t>
      </w:r>
      <w:r>
        <w:rPr>
          <w:rFonts w:ascii="Verdana" w:hAnsi="Verdana" w:cs="Times New Roman"/>
          <w:sz w:val="19"/>
          <w:szCs w:val="19"/>
        </w:rPr>
        <w:t>10%, with a minimum deposit of $1,000.00,</w:t>
      </w:r>
      <w:r w:rsidRPr="001E5BF9">
        <w:rPr>
          <w:rFonts w:ascii="Verdana" w:hAnsi="Verdana" w:cs="Times New Roman"/>
          <w:sz w:val="19"/>
          <w:szCs w:val="19"/>
        </w:rPr>
        <w:t xml:space="preserve"> shall be wire transferred to </w:t>
      </w:r>
      <w:r>
        <w:rPr>
          <w:rFonts w:ascii="Verdana" w:hAnsi="Verdana" w:cs="Times New Roman"/>
          <w:sz w:val="19"/>
          <w:szCs w:val="19"/>
        </w:rPr>
        <w:t>Standard Title Co.</w:t>
      </w:r>
      <w:r w:rsidRPr="001E5BF9">
        <w:rPr>
          <w:rFonts w:ascii="Verdana" w:hAnsi="Verdana" w:cs="Times New Roman"/>
          <w:sz w:val="19"/>
          <w:szCs w:val="19"/>
        </w:rPr>
        <w:t xml:space="preserve"> no later than </w:t>
      </w:r>
      <w:r>
        <w:rPr>
          <w:rFonts w:ascii="Verdana" w:hAnsi="Verdana" w:cs="Times New Roman"/>
          <w:sz w:val="19"/>
          <w:szCs w:val="19"/>
        </w:rPr>
        <w:t>2</w:t>
      </w:r>
      <w:r w:rsidRPr="001E5BF9">
        <w:rPr>
          <w:rFonts w:ascii="Verdana" w:hAnsi="Verdana" w:cs="Times New Roman"/>
          <w:sz w:val="19"/>
          <w:szCs w:val="19"/>
        </w:rPr>
        <w:t>:00</w:t>
      </w:r>
      <w:r>
        <w:rPr>
          <w:rFonts w:ascii="Verdana" w:hAnsi="Verdana" w:cs="Times New Roman"/>
          <w:sz w:val="19"/>
          <w:szCs w:val="19"/>
        </w:rPr>
        <w:t xml:space="preserve"> </w:t>
      </w:r>
      <w:r w:rsidRPr="001E5BF9">
        <w:rPr>
          <w:rFonts w:ascii="Verdana" w:hAnsi="Verdana" w:cs="Times New Roman"/>
          <w:sz w:val="19"/>
          <w:szCs w:val="19"/>
        </w:rPr>
        <w:t xml:space="preserve">pm </w:t>
      </w:r>
      <w:r>
        <w:rPr>
          <w:rFonts w:ascii="Verdana" w:hAnsi="Verdana" w:cs="Times New Roman"/>
          <w:sz w:val="19"/>
          <w:szCs w:val="19"/>
        </w:rPr>
        <w:t>EST</w:t>
      </w:r>
      <w:r w:rsidRPr="001E5BF9">
        <w:rPr>
          <w:rFonts w:ascii="Verdana" w:hAnsi="Verdana" w:cs="Times New Roman"/>
          <w:sz w:val="19"/>
          <w:szCs w:val="19"/>
        </w:rPr>
        <w:t xml:space="preserve"> the day following auction end.  Balance of the </w:t>
      </w:r>
      <w:r>
        <w:rPr>
          <w:rFonts w:ascii="Verdana" w:hAnsi="Verdana" w:cs="Times New Roman"/>
          <w:sz w:val="19"/>
          <w:szCs w:val="19"/>
        </w:rPr>
        <w:t>FULL</w:t>
      </w:r>
      <w:r w:rsidRPr="001E5BF9">
        <w:rPr>
          <w:rFonts w:ascii="Verdana" w:hAnsi="Verdana" w:cs="Times New Roman"/>
          <w:sz w:val="19"/>
          <w:szCs w:val="19"/>
        </w:rPr>
        <w:t xml:space="preserve"> purchase price shall be wire transferred to </w:t>
      </w:r>
      <w:r>
        <w:rPr>
          <w:rFonts w:ascii="Verdana" w:hAnsi="Verdana" w:cs="Times New Roman"/>
          <w:sz w:val="19"/>
          <w:szCs w:val="19"/>
        </w:rPr>
        <w:t>Standard</w:t>
      </w:r>
      <w:r w:rsidRPr="001E5BF9">
        <w:rPr>
          <w:rFonts w:ascii="Verdana" w:hAnsi="Verdana" w:cs="Times New Roman"/>
          <w:sz w:val="19"/>
          <w:szCs w:val="19"/>
        </w:rPr>
        <w:t xml:space="preserve"> Title Co</w:t>
      </w:r>
      <w:r>
        <w:rPr>
          <w:rFonts w:ascii="Verdana" w:hAnsi="Verdana" w:cs="Times New Roman"/>
          <w:sz w:val="19"/>
          <w:szCs w:val="19"/>
        </w:rPr>
        <w:t>.</w:t>
      </w:r>
      <w:r w:rsidRPr="001E5BF9">
        <w:rPr>
          <w:rFonts w:ascii="Verdana" w:hAnsi="Verdana" w:cs="Times New Roman"/>
          <w:sz w:val="19"/>
          <w:szCs w:val="19"/>
        </w:rPr>
        <w:t xml:space="preserve"> no later than thirty (30) days following the confirmation of sale.  Failure to pay deposit, buyer premium or balance of purchase price timely will result in private selling officer moving the court for a contempt citation against purchaser.  </w:t>
      </w:r>
      <w:r w:rsidRPr="001E5BF9">
        <w:rPr>
          <w:rFonts w:ascii="Verdana" w:hAnsi="Verdana"/>
          <w:sz w:val="19"/>
          <w:szCs w:val="19"/>
          <w:shd w:val="clear" w:color="auto" w:fill="FFFFFF"/>
        </w:rPr>
        <w:t>The purchaser shall be responsible for those costs, allowances, and taxes that the proceeds of the sale are insufficient to cover.</w:t>
      </w:r>
    </w:p>
    <w:p w14:paraId="2858D826" w14:textId="77777777" w:rsidR="00D87DDC" w:rsidRDefault="00D87DDC" w:rsidP="00D87DDC">
      <w:pPr>
        <w:pStyle w:val="NormalWeb"/>
        <w:shd w:val="clear" w:color="auto" w:fill="FFFFFF"/>
        <w:jc w:val="both"/>
        <w:rPr>
          <w:rFonts w:ascii="Verdana" w:hAnsi="Verdana"/>
          <w:b/>
          <w:color w:val="000000"/>
          <w:sz w:val="19"/>
          <w:szCs w:val="19"/>
        </w:rPr>
      </w:pPr>
      <w:r w:rsidRPr="001E5BF9">
        <w:rPr>
          <w:rFonts w:ascii="Verdana" w:hAnsi="Verdana"/>
          <w:b/>
          <w:color w:val="000000"/>
          <w:sz w:val="19"/>
          <w:szCs w:val="19"/>
        </w:rPr>
        <w:t>PUBLIC NOTICE IS HEREBY GIVEN THAT PARCELS TO BE SOLD AT PUBLIC AUCTION MAY BE SUBJECT TO A FEDERAL TAX LIEN THAT MAY NOT BE EXTINGUISHED BY THE SALE.</w:t>
      </w:r>
      <w:r>
        <w:rPr>
          <w:rFonts w:ascii="Verdana" w:hAnsi="Verdana"/>
          <w:b/>
          <w:color w:val="000000"/>
          <w:sz w:val="19"/>
          <w:szCs w:val="19"/>
        </w:rPr>
        <w:t xml:space="preserve">  </w:t>
      </w:r>
    </w:p>
    <w:p w14:paraId="7368EE49"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NOTE: Prospective bidders are responsible for knowing what they are bidding on prior to the time of sale by first having reviewed the records of the City wherein the parcel is located, and the records of the County, and further, by personally viewing the parcel at its location.</w:t>
      </w:r>
    </w:p>
    <w:p w14:paraId="1B8A6779"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lastRenderedPageBreak/>
        <w:t>NOTE:  Per Section 5721.38 of the Ohio Revised Code, an owner of a parcel may redeem his property by payment in full of all taxes and costs until the sale of such parcel is confirmed by the Court.</w:t>
      </w:r>
    </w:p>
    <w:p w14:paraId="29FD21F6" w14:textId="331FCBE8" w:rsidR="009934D9" w:rsidRDefault="00D87DDC" w:rsidP="009934D9">
      <w:pPr>
        <w:pStyle w:val="NormalWeb"/>
        <w:shd w:val="clear" w:color="auto" w:fill="FFFFFF"/>
        <w:jc w:val="both"/>
        <w:rPr>
          <w:rFonts w:ascii="Verdana" w:hAnsi="Verdana"/>
          <w:color w:val="000000"/>
          <w:sz w:val="19"/>
          <w:szCs w:val="19"/>
        </w:rPr>
      </w:pPr>
      <w:r>
        <w:rPr>
          <w:rFonts w:ascii="Verdana" w:hAnsi="Verdana"/>
          <w:color w:val="000000"/>
          <w:sz w:val="19"/>
          <w:szCs w:val="19"/>
        </w:rPr>
        <w:t>This advertisement is prepared and published pursuant to the provisions of Section 5721.37 and 5721.39 of the Ohio Revised Code.</w:t>
      </w:r>
    </w:p>
    <w:p w14:paraId="6F0CA6DE" w14:textId="77777777" w:rsidR="00727F27" w:rsidRDefault="00E03133"/>
    <w:sectPr w:rsidR="0072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D9"/>
    <w:rsid w:val="00004D9E"/>
    <w:rsid w:val="0002090E"/>
    <w:rsid w:val="00040C8B"/>
    <w:rsid w:val="00041619"/>
    <w:rsid w:val="00054B3D"/>
    <w:rsid w:val="000A392A"/>
    <w:rsid w:val="000C2D7B"/>
    <w:rsid w:val="000E6CDB"/>
    <w:rsid w:val="000F0E71"/>
    <w:rsid w:val="000F7F7E"/>
    <w:rsid w:val="0013787A"/>
    <w:rsid w:val="00137A39"/>
    <w:rsid w:val="00166241"/>
    <w:rsid w:val="001877B0"/>
    <w:rsid w:val="0019520F"/>
    <w:rsid w:val="001A6AA1"/>
    <w:rsid w:val="001D3BEE"/>
    <w:rsid w:val="001F17DC"/>
    <w:rsid w:val="00205C07"/>
    <w:rsid w:val="00215CE1"/>
    <w:rsid w:val="00221284"/>
    <w:rsid w:val="00240E11"/>
    <w:rsid w:val="00241F92"/>
    <w:rsid w:val="00253370"/>
    <w:rsid w:val="00283863"/>
    <w:rsid w:val="002859DC"/>
    <w:rsid w:val="00290163"/>
    <w:rsid w:val="00294CD9"/>
    <w:rsid w:val="00295F8C"/>
    <w:rsid w:val="002A24DE"/>
    <w:rsid w:val="002B1CD4"/>
    <w:rsid w:val="002B1E1D"/>
    <w:rsid w:val="002B570B"/>
    <w:rsid w:val="002F75AD"/>
    <w:rsid w:val="00396CDD"/>
    <w:rsid w:val="003B3A3F"/>
    <w:rsid w:val="003C3D94"/>
    <w:rsid w:val="003D4B1F"/>
    <w:rsid w:val="003E272C"/>
    <w:rsid w:val="003F0344"/>
    <w:rsid w:val="004169B5"/>
    <w:rsid w:val="0046260C"/>
    <w:rsid w:val="00465722"/>
    <w:rsid w:val="004869CE"/>
    <w:rsid w:val="004C6EFD"/>
    <w:rsid w:val="004D6084"/>
    <w:rsid w:val="0052183A"/>
    <w:rsid w:val="005531D0"/>
    <w:rsid w:val="0055614F"/>
    <w:rsid w:val="00582244"/>
    <w:rsid w:val="00585A09"/>
    <w:rsid w:val="005A2A99"/>
    <w:rsid w:val="005B24AF"/>
    <w:rsid w:val="005B5BCD"/>
    <w:rsid w:val="005B6411"/>
    <w:rsid w:val="005F219C"/>
    <w:rsid w:val="00642940"/>
    <w:rsid w:val="00647A7C"/>
    <w:rsid w:val="006B2E49"/>
    <w:rsid w:val="006B2EA4"/>
    <w:rsid w:val="006F13C9"/>
    <w:rsid w:val="00700A93"/>
    <w:rsid w:val="0073151A"/>
    <w:rsid w:val="00734CFA"/>
    <w:rsid w:val="0077478F"/>
    <w:rsid w:val="007D5186"/>
    <w:rsid w:val="007F030F"/>
    <w:rsid w:val="008022AA"/>
    <w:rsid w:val="0080332C"/>
    <w:rsid w:val="00833FB9"/>
    <w:rsid w:val="00857D8A"/>
    <w:rsid w:val="0086782E"/>
    <w:rsid w:val="00871C7D"/>
    <w:rsid w:val="00871CFC"/>
    <w:rsid w:val="00881AFF"/>
    <w:rsid w:val="008A01CD"/>
    <w:rsid w:val="008D560A"/>
    <w:rsid w:val="008E5312"/>
    <w:rsid w:val="008F4539"/>
    <w:rsid w:val="009264A6"/>
    <w:rsid w:val="00950B30"/>
    <w:rsid w:val="00973192"/>
    <w:rsid w:val="009934D9"/>
    <w:rsid w:val="009953C1"/>
    <w:rsid w:val="00995D28"/>
    <w:rsid w:val="009A2186"/>
    <w:rsid w:val="009A2980"/>
    <w:rsid w:val="009B42FB"/>
    <w:rsid w:val="009C5B17"/>
    <w:rsid w:val="00A06C1D"/>
    <w:rsid w:val="00A14BF7"/>
    <w:rsid w:val="00A3205C"/>
    <w:rsid w:val="00A36AE5"/>
    <w:rsid w:val="00A40C86"/>
    <w:rsid w:val="00A54369"/>
    <w:rsid w:val="00AB6459"/>
    <w:rsid w:val="00AD497E"/>
    <w:rsid w:val="00AE12A0"/>
    <w:rsid w:val="00AE64DD"/>
    <w:rsid w:val="00AF356B"/>
    <w:rsid w:val="00AF6D78"/>
    <w:rsid w:val="00B059FA"/>
    <w:rsid w:val="00B126FB"/>
    <w:rsid w:val="00B50C50"/>
    <w:rsid w:val="00B729C6"/>
    <w:rsid w:val="00BA0392"/>
    <w:rsid w:val="00BC3607"/>
    <w:rsid w:val="00BD1867"/>
    <w:rsid w:val="00BD7F59"/>
    <w:rsid w:val="00BE33DF"/>
    <w:rsid w:val="00BF4888"/>
    <w:rsid w:val="00C07B78"/>
    <w:rsid w:val="00C1009D"/>
    <w:rsid w:val="00C16A59"/>
    <w:rsid w:val="00C47192"/>
    <w:rsid w:val="00C668E8"/>
    <w:rsid w:val="00C752C7"/>
    <w:rsid w:val="00C95BBF"/>
    <w:rsid w:val="00CA6179"/>
    <w:rsid w:val="00CB2E7A"/>
    <w:rsid w:val="00CC50FB"/>
    <w:rsid w:val="00CC6E50"/>
    <w:rsid w:val="00CF0344"/>
    <w:rsid w:val="00D26123"/>
    <w:rsid w:val="00D423A6"/>
    <w:rsid w:val="00D47D83"/>
    <w:rsid w:val="00D87DDC"/>
    <w:rsid w:val="00D9251E"/>
    <w:rsid w:val="00DA5F85"/>
    <w:rsid w:val="00DE6CF3"/>
    <w:rsid w:val="00E03133"/>
    <w:rsid w:val="00E12E14"/>
    <w:rsid w:val="00E4533A"/>
    <w:rsid w:val="00ED226C"/>
    <w:rsid w:val="00ED270A"/>
    <w:rsid w:val="00EF0AF7"/>
    <w:rsid w:val="00F167D2"/>
    <w:rsid w:val="00F445DC"/>
    <w:rsid w:val="00F8473A"/>
    <w:rsid w:val="00F87FA6"/>
    <w:rsid w:val="00FC0C07"/>
    <w:rsid w:val="00FC10C0"/>
    <w:rsid w:val="00FC5B04"/>
    <w:rsid w:val="00FD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4D9"/>
    <w:rPr>
      <w:color w:val="0000FF"/>
      <w:u w:val="single"/>
    </w:rPr>
  </w:style>
  <w:style w:type="paragraph" w:styleId="BalloonText">
    <w:name w:val="Balloon Text"/>
    <w:basedOn w:val="Normal"/>
    <w:link w:val="BalloonTextChar"/>
    <w:uiPriority w:val="99"/>
    <w:semiHidden/>
    <w:unhideWhenUsed/>
    <w:rsid w:val="0083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4D9"/>
    <w:rPr>
      <w:color w:val="0000FF"/>
      <w:u w:val="single"/>
    </w:rPr>
  </w:style>
  <w:style w:type="paragraph" w:styleId="BalloonText">
    <w:name w:val="Balloon Text"/>
    <w:basedOn w:val="Normal"/>
    <w:link w:val="BalloonTextChar"/>
    <w:uiPriority w:val="99"/>
    <w:semiHidden/>
    <w:unhideWhenUsed/>
    <w:rsid w:val="0083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hioForeclosur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91F80-4F99-4BDD-A162-FED1F811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Bovard</dc:creator>
  <cp:lastModifiedBy>Julie Bovard</cp:lastModifiedBy>
  <cp:revision>4</cp:revision>
  <cp:lastPrinted>2019-05-30T17:07:00Z</cp:lastPrinted>
  <dcterms:created xsi:type="dcterms:W3CDTF">2019-07-19T13:31:00Z</dcterms:created>
  <dcterms:modified xsi:type="dcterms:W3CDTF">2019-07-22T17:52:00Z</dcterms:modified>
</cp:coreProperties>
</file>